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5A" w:rsidRDefault="00995E5A" w:rsidP="00995E5A">
      <w:pPr>
        <w:adjustRightInd w:val="0"/>
        <w:snapToGrid w:val="0"/>
        <w:spacing w:line="600" w:lineRule="exact"/>
        <w:jc w:val="center"/>
        <w:rPr>
          <w:rFonts w:ascii="黑体" w:eastAsia="黑体" w:hAnsi="宋体"/>
          <w:b/>
          <w:bCs/>
          <w:color w:val="000000"/>
          <w:sz w:val="44"/>
        </w:rPr>
      </w:pPr>
      <w:r>
        <w:rPr>
          <w:rFonts w:ascii="黑体" w:eastAsia="黑体" w:hAnsi="宋体" w:hint="eastAsia"/>
          <w:b/>
          <w:bCs/>
          <w:color w:val="000000"/>
          <w:sz w:val="44"/>
        </w:rPr>
        <w:t>长春经济技术开发区</w:t>
      </w:r>
    </w:p>
    <w:p w:rsidR="00995E5A" w:rsidRDefault="00995E5A" w:rsidP="00995E5A">
      <w:pPr>
        <w:adjustRightInd w:val="0"/>
        <w:snapToGrid w:val="0"/>
        <w:spacing w:line="600" w:lineRule="exact"/>
        <w:jc w:val="center"/>
        <w:rPr>
          <w:rFonts w:ascii="黑体" w:eastAsia="黑体" w:hAnsi="宋体"/>
          <w:b/>
          <w:bCs/>
          <w:color w:val="000000"/>
          <w:sz w:val="44"/>
        </w:rPr>
      </w:pPr>
      <w:r>
        <w:rPr>
          <w:rFonts w:ascii="黑体" w:eastAsia="黑体" w:hAnsi="宋体" w:hint="eastAsia"/>
          <w:b/>
          <w:bCs/>
          <w:color w:val="000000"/>
          <w:sz w:val="44"/>
        </w:rPr>
        <w:t>2019年经济和社会发展统计报告</w:t>
      </w:r>
    </w:p>
    <w:p w:rsidR="00995E5A" w:rsidRDefault="00995E5A" w:rsidP="00995E5A">
      <w:pPr>
        <w:adjustRightInd w:val="0"/>
        <w:snapToGrid w:val="0"/>
        <w:spacing w:line="600" w:lineRule="exact"/>
        <w:jc w:val="center"/>
        <w:rPr>
          <w:rFonts w:ascii="黑体" w:eastAsia="黑体" w:hAnsi="宋体"/>
          <w:b/>
          <w:bCs/>
          <w:color w:val="000000"/>
          <w:sz w:val="44"/>
        </w:rPr>
      </w:pPr>
    </w:p>
    <w:p w:rsidR="00995E5A" w:rsidRDefault="005D3D08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2019年，长春经济技术开发区</w:t>
      </w:r>
      <w:r w:rsidR="00341796" w:rsidRPr="00341796">
        <w:rPr>
          <w:rFonts w:ascii="仿宋_GB2312" w:eastAsia="仿宋_GB2312" w:hAnsi="宋体" w:hint="eastAsia"/>
          <w:color w:val="000000"/>
          <w:sz w:val="32"/>
        </w:rPr>
        <w:t>以习近平新时代中国特色社会主义思想为指引，以高质量发展为中心任务，按照着力打造一流营商环境、一流产业园区、一流开放高地和一流干部队伍的工作目标</w:t>
      </w:r>
      <w:r w:rsidR="00E20A37">
        <w:rPr>
          <w:rFonts w:ascii="仿宋_GB2312" w:eastAsia="仿宋_GB2312" w:hAnsi="宋体" w:hint="eastAsia"/>
          <w:color w:val="000000"/>
          <w:sz w:val="32"/>
        </w:rPr>
        <w:t>，努力奋斗、开拓务实，</w:t>
      </w:r>
      <w:r w:rsidR="00E20A37" w:rsidRPr="00E20A37">
        <w:rPr>
          <w:rFonts w:ascii="仿宋_GB2312" w:eastAsia="仿宋_GB2312" w:hAnsi="宋体" w:hint="eastAsia"/>
          <w:color w:val="000000"/>
          <w:sz w:val="32"/>
        </w:rPr>
        <w:t>较好地完成了各项工作任务，许多领域取得可喜变化，高质量发展迈出坚实步伐</w:t>
      </w:r>
      <w:r w:rsidR="008B042B">
        <w:rPr>
          <w:rFonts w:ascii="仿宋_GB2312" w:eastAsia="仿宋_GB2312" w:hAnsi="宋体" w:hint="eastAsia"/>
          <w:color w:val="000000"/>
          <w:sz w:val="32"/>
        </w:rPr>
        <w:t>。</w:t>
      </w:r>
    </w:p>
    <w:p w:rsidR="008B042B" w:rsidRPr="00247493" w:rsidRDefault="008B042B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/>
          <w:b/>
          <w:color w:val="000000"/>
          <w:sz w:val="32"/>
        </w:rPr>
      </w:pPr>
      <w:r w:rsidRPr="00247493">
        <w:rPr>
          <w:rFonts w:ascii="仿宋_GB2312" w:eastAsia="仿宋_GB2312" w:hAnsi="宋体" w:hint="eastAsia"/>
          <w:b/>
          <w:color w:val="000000"/>
          <w:sz w:val="32"/>
        </w:rPr>
        <w:t>一、综合</w:t>
      </w:r>
    </w:p>
    <w:p w:rsidR="00A20E7E" w:rsidRDefault="00E83ED5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/>
          <w:color w:val="000000"/>
          <w:sz w:val="32"/>
        </w:rPr>
      </w:pPr>
      <w:r w:rsidRPr="00E83ED5">
        <w:rPr>
          <w:rFonts w:ascii="仿宋_GB2312" w:eastAsia="仿宋_GB2312" w:hAnsi="宋体" w:hint="eastAsia"/>
          <w:color w:val="000000"/>
          <w:sz w:val="32"/>
        </w:rPr>
        <w:t>经济运行稳中有进，</w:t>
      </w:r>
      <w:r w:rsidR="0088227A">
        <w:rPr>
          <w:rFonts w:ascii="仿宋_GB2312" w:eastAsia="仿宋_GB2312" w:hAnsi="宋体" w:hint="eastAsia"/>
          <w:color w:val="000000"/>
          <w:sz w:val="32"/>
        </w:rPr>
        <w:t>产业结构实现突破</w:t>
      </w:r>
      <w:r>
        <w:rPr>
          <w:rFonts w:ascii="仿宋_GB2312" w:eastAsia="仿宋_GB2312" w:hAnsi="宋体" w:hint="eastAsia"/>
          <w:color w:val="000000"/>
          <w:sz w:val="32"/>
        </w:rPr>
        <w:t>。</w:t>
      </w:r>
      <w:r w:rsidR="001E3196">
        <w:rPr>
          <w:rFonts w:ascii="仿宋_GB2312" w:eastAsia="仿宋_GB2312" w:hAnsi="宋体" w:hint="eastAsia"/>
          <w:color w:val="000000"/>
          <w:sz w:val="32"/>
        </w:rPr>
        <w:t>2019年全区实现地区生产总值</w:t>
      </w:r>
      <w:r w:rsidR="005F6559">
        <w:rPr>
          <w:rFonts w:ascii="仿宋_GB2312" w:eastAsia="仿宋_GB2312" w:hAnsi="宋体" w:hint="eastAsia"/>
          <w:color w:val="000000"/>
          <w:sz w:val="32"/>
        </w:rPr>
        <w:t>705.3亿元，同比增长5.4%</w:t>
      </w:r>
      <w:r w:rsidR="00D4798C">
        <w:rPr>
          <w:rFonts w:ascii="仿宋_GB2312" w:eastAsia="仿宋_GB2312" w:hAnsi="宋体" w:hint="eastAsia"/>
          <w:color w:val="000000"/>
          <w:sz w:val="32"/>
        </w:rPr>
        <w:t>，占全市11.9%。其中，第一产业</w:t>
      </w:r>
      <w:r w:rsidR="009D3194">
        <w:rPr>
          <w:rFonts w:ascii="仿宋_GB2312" w:eastAsia="仿宋_GB2312" w:hAnsi="宋体" w:hint="eastAsia"/>
          <w:color w:val="000000"/>
          <w:sz w:val="32"/>
        </w:rPr>
        <w:t>实现增加值0.12亿元，同比下降11.6%；第二产业实现增加值278.9亿元，同比增长4.6%；第三产业实现增加值426.3亿元，同比增长6.1%。三次产业比重为</w:t>
      </w:r>
      <w:r w:rsidR="00577E16">
        <w:rPr>
          <w:rFonts w:ascii="仿宋_GB2312" w:eastAsia="仿宋_GB2312" w:hAnsi="宋体" w:hint="eastAsia"/>
          <w:color w:val="000000"/>
          <w:sz w:val="32"/>
        </w:rPr>
        <w:t>0.01:39.5:60.4。</w:t>
      </w:r>
      <w:r w:rsidR="00A20E7E">
        <w:rPr>
          <w:rFonts w:ascii="仿宋_GB2312" w:eastAsia="仿宋_GB2312" w:hAnsi="宋体" w:hint="eastAsia"/>
          <w:color w:val="000000"/>
          <w:sz w:val="32"/>
        </w:rPr>
        <w:t>产业结构首次由二三一转变为三二一。</w:t>
      </w:r>
      <w:r w:rsidR="00083794">
        <w:rPr>
          <w:rFonts w:ascii="仿宋_GB2312" w:eastAsia="仿宋_GB2312" w:hAnsi="宋体" w:hint="eastAsia"/>
          <w:color w:val="000000"/>
          <w:sz w:val="32"/>
        </w:rPr>
        <w:t xml:space="preserve">                                   </w:t>
      </w:r>
    </w:p>
    <w:p w:rsidR="007D40ED" w:rsidRDefault="00C9050F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2019年末，全区实有“四上”企业57</w:t>
      </w:r>
      <w:r w:rsidR="007A2F67">
        <w:rPr>
          <w:rFonts w:ascii="仿宋_GB2312" w:eastAsia="仿宋_GB2312" w:hAnsi="宋体" w:hint="eastAsia"/>
          <w:color w:val="000000"/>
          <w:sz w:val="32"/>
        </w:rPr>
        <w:t>8</w:t>
      </w:r>
      <w:r>
        <w:rPr>
          <w:rFonts w:ascii="仿宋_GB2312" w:eastAsia="仿宋_GB2312" w:hAnsi="宋体" w:hint="eastAsia"/>
          <w:color w:val="000000"/>
          <w:sz w:val="32"/>
        </w:rPr>
        <w:t>户，其中：规模以上工业企业136户，有资质建筑业企业</w:t>
      </w:r>
      <w:r w:rsidR="00D47E09">
        <w:rPr>
          <w:rFonts w:ascii="仿宋_GB2312" w:eastAsia="仿宋_GB2312" w:hAnsi="宋体" w:hint="eastAsia"/>
          <w:color w:val="000000"/>
          <w:sz w:val="32"/>
        </w:rPr>
        <w:t>156户，房地产开发经营业企业</w:t>
      </w:r>
      <w:r w:rsidR="007A2F67">
        <w:rPr>
          <w:rFonts w:ascii="仿宋_GB2312" w:eastAsia="仿宋_GB2312" w:hAnsi="宋体" w:hint="eastAsia"/>
          <w:color w:val="000000"/>
          <w:sz w:val="32"/>
        </w:rPr>
        <w:t>50</w:t>
      </w:r>
      <w:r w:rsidR="00D47E09">
        <w:rPr>
          <w:rFonts w:ascii="仿宋_GB2312" w:eastAsia="仿宋_GB2312" w:hAnsi="宋体" w:hint="eastAsia"/>
          <w:color w:val="000000"/>
          <w:sz w:val="32"/>
        </w:rPr>
        <w:t>户，限额以上批发零售住宿餐饮企业141户，规模以上服务业企业</w:t>
      </w:r>
      <w:r w:rsidR="007A2F67">
        <w:rPr>
          <w:rFonts w:ascii="仿宋_GB2312" w:eastAsia="仿宋_GB2312" w:hAnsi="宋体" w:hint="eastAsia"/>
          <w:color w:val="000000"/>
          <w:sz w:val="32"/>
        </w:rPr>
        <w:t>95</w:t>
      </w:r>
      <w:r w:rsidR="00D47E09">
        <w:rPr>
          <w:rFonts w:ascii="仿宋_GB2312" w:eastAsia="仿宋_GB2312" w:hAnsi="宋体" w:hint="eastAsia"/>
          <w:color w:val="000000"/>
          <w:sz w:val="32"/>
        </w:rPr>
        <w:t>户。</w:t>
      </w:r>
    </w:p>
    <w:p w:rsidR="00FE3D31" w:rsidRDefault="001B1C9F" w:rsidP="00FE3D3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</w:rPr>
        <w:t>全区实现一般预算全口径财政收入</w:t>
      </w:r>
      <w:r w:rsidR="00FE3D31" w:rsidRPr="00533DBD">
        <w:rPr>
          <w:rFonts w:ascii="仿宋_GB2312" w:eastAsia="仿宋_GB2312" w:hAnsi="华文中宋" w:hint="eastAsia"/>
          <w:sz w:val="32"/>
          <w:szCs w:val="32"/>
        </w:rPr>
        <w:t>68.9亿元，区本级财政收入实现</w:t>
      </w:r>
      <w:r w:rsidR="00FE3D31">
        <w:rPr>
          <w:rFonts w:ascii="仿宋_GB2312" w:eastAsia="仿宋_GB2312" w:hAnsi="华文中宋" w:hint="eastAsia"/>
          <w:sz w:val="32"/>
          <w:szCs w:val="32"/>
        </w:rPr>
        <w:t>13.1</w:t>
      </w:r>
      <w:r w:rsidR="00FE3D31" w:rsidRPr="00533DBD">
        <w:rPr>
          <w:rFonts w:ascii="仿宋_GB2312" w:eastAsia="仿宋_GB2312" w:hAnsi="华文中宋" w:hint="eastAsia"/>
          <w:sz w:val="32"/>
          <w:szCs w:val="32"/>
        </w:rPr>
        <w:t>亿元，增长</w:t>
      </w:r>
      <w:r w:rsidR="00FE3D31">
        <w:rPr>
          <w:rFonts w:ascii="仿宋_GB2312" w:eastAsia="仿宋_GB2312" w:hAnsi="华文中宋" w:hint="eastAsia"/>
          <w:sz w:val="32"/>
          <w:szCs w:val="32"/>
        </w:rPr>
        <w:t>3.1</w:t>
      </w:r>
      <w:r w:rsidR="00FE3D31" w:rsidRPr="00533DBD">
        <w:rPr>
          <w:rFonts w:ascii="仿宋_GB2312" w:eastAsia="仿宋_GB2312" w:hAnsi="华文中宋" w:hint="eastAsia"/>
          <w:sz w:val="32"/>
          <w:szCs w:val="32"/>
        </w:rPr>
        <w:t>%。</w:t>
      </w:r>
    </w:p>
    <w:p w:rsidR="001B1C9F" w:rsidRPr="00247493" w:rsidRDefault="00767AC8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/>
          <w:b/>
          <w:color w:val="000000"/>
          <w:sz w:val="32"/>
        </w:rPr>
      </w:pPr>
      <w:r w:rsidRPr="00247493">
        <w:rPr>
          <w:rFonts w:ascii="仿宋_GB2312" w:eastAsia="仿宋_GB2312" w:hAnsi="宋体"/>
          <w:b/>
          <w:color w:val="000000"/>
          <w:sz w:val="32"/>
        </w:rPr>
        <w:t>二</w:t>
      </w:r>
      <w:r w:rsidRPr="00247493">
        <w:rPr>
          <w:rFonts w:ascii="仿宋_GB2312" w:eastAsia="仿宋_GB2312" w:hAnsi="宋体" w:hint="eastAsia"/>
          <w:b/>
          <w:color w:val="000000"/>
          <w:sz w:val="32"/>
        </w:rPr>
        <w:t>、工业和建筑业</w:t>
      </w:r>
    </w:p>
    <w:p w:rsidR="00C068F9" w:rsidRDefault="000C7F76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 w:rsidRPr="00730BF2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工业经济增长平稳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C3639A">
        <w:rPr>
          <w:rFonts w:ascii="仿宋_GB2312" w:eastAsia="仿宋_GB2312" w:hAnsi="宋体" w:cs="宋体" w:hint="eastAsia"/>
          <w:color w:val="000000"/>
          <w:sz w:val="32"/>
          <w:szCs w:val="32"/>
        </w:rPr>
        <w:t>技改扩能初见成效。2019年全区实现</w:t>
      </w:r>
      <w:r w:rsidR="00C3639A">
        <w:rPr>
          <w:rFonts w:ascii="仿宋_GB2312" w:eastAsia="仿宋_GB2312" w:hAnsi="华文中宋" w:hint="eastAsia"/>
          <w:sz w:val="32"/>
          <w:szCs w:val="32"/>
        </w:rPr>
        <w:t>规模以上</w:t>
      </w:r>
      <w:r w:rsidR="00B03D5C" w:rsidRPr="00533DBD">
        <w:rPr>
          <w:rFonts w:ascii="仿宋_GB2312" w:eastAsia="仿宋_GB2312" w:hAnsi="华文中宋" w:hint="eastAsia"/>
          <w:sz w:val="32"/>
          <w:szCs w:val="32"/>
        </w:rPr>
        <w:t>工业总产值实现934</w:t>
      </w:r>
      <w:r w:rsidR="00FE0F4E">
        <w:rPr>
          <w:rFonts w:ascii="仿宋_GB2312" w:eastAsia="仿宋_GB2312" w:hAnsi="华文中宋" w:hint="eastAsia"/>
          <w:sz w:val="32"/>
          <w:szCs w:val="32"/>
        </w:rPr>
        <w:t>.1</w:t>
      </w:r>
      <w:r w:rsidR="00B03D5C" w:rsidRPr="00533DBD">
        <w:rPr>
          <w:rFonts w:ascii="仿宋_GB2312" w:eastAsia="仿宋_GB2312" w:hAnsi="华文中宋" w:hint="eastAsia"/>
          <w:sz w:val="32"/>
          <w:szCs w:val="32"/>
        </w:rPr>
        <w:t>亿元</w:t>
      </w:r>
      <w:r w:rsidR="00C068F9">
        <w:rPr>
          <w:rFonts w:ascii="仿宋_GB2312" w:eastAsia="仿宋_GB2312" w:hAnsi="华文中宋" w:hint="eastAsia"/>
          <w:sz w:val="32"/>
          <w:szCs w:val="32"/>
        </w:rPr>
        <w:t>，其中汽车及零部件行</w:t>
      </w:r>
      <w:r w:rsidR="007A2F67">
        <w:rPr>
          <w:rFonts w:ascii="仿宋_GB2312" w:eastAsia="仿宋_GB2312" w:hAnsi="华文中宋" w:hint="eastAsia"/>
          <w:sz w:val="32"/>
          <w:szCs w:val="32"/>
        </w:rPr>
        <w:t>业实现产值</w:t>
      </w:r>
      <w:r w:rsidR="00C068F9">
        <w:rPr>
          <w:rFonts w:ascii="仿宋_GB2312" w:eastAsia="仿宋_GB2312" w:hAnsi="华文中宋" w:hint="eastAsia"/>
          <w:sz w:val="32"/>
          <w:szCs w:val="32"/>
        </w:rPr>
        <w:t>615.9亿元，占比65.9%</w:t>
      </w:r>
      <w:r w:rsidR="00C8362E">
        <w:rPr>
          <w:rFonts w:ascii="仿宋_GB2312" w:eastAsia="仿宋_GB2312" w:hAnsi="华文中宋" w:hint="eastAsia"/>
          <w:sz w:val="32"/>
          <w:szCs w:val="32"/>
        </w:rPr>
        <w:t>；</w:t>
      </w:r>
      <w:r w:rsidR="00C068F9">
        <w:rPr>
          <w:rFonts w:ascii="仿宋_GB2312" w:eastAsia="仿宋_GB2312" w:hAnsi="华文中宋" w:hint="eastAsia"/>
          <w:sz w:val="32"/>
          <w:szCs w:val="32"/>
        </w:rPr>
        <w:t>农产品深加工行业实现产值114.6亿元，占比12.3%。</w:t>
      </w:r>
    </w:p>
    <w:p w:rsidR="00C068F9" w:rsidRDefault="00C068F9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全年实现建筑业增加值48.8亿元，同比增长2.1%。</w:t>
      </w:r>
    </w:p>
    <w:p w:rsidR="00C068F9" w:rsidRPr="00C00EFE" w:rsidRDefault="00527807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b/>
          <w:sz w:val="32"/>
          <w:szCs w:val="32"/>
        </w:rPr>
      </w:pPr>
      <w:r w:rsidRPr="00C00EFE">
        <w:rPr>
          <w:rFonts w:ascii="仿宋_GB2312" w:eastAsia="仿宋_GB2312" w:hAnsi="华文中宋" w:hint="eastAsia"/>
          <w:b/>
          <w:sz w:val="32"/>
          <w:szCs w:val="32"/>
        </w:rPr>
        <w:t>三、第三产业</w:t>
      </w:r>
    </w:p>
    <w:p w:rsidR="00C068F9" w:rsidRDefault="00527807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第三产业发展迅速，支撑作用逐步显现。</w:t>
      </w:r>
      <w:r w:rsidR="00386D35">
        <w:rPr>
          <w:rFonts w:ascii="仿宋_GB2312" w:eastAsia="仿宋_GB2312" w:hAnsi="华文中宋" w:hint="eastAsia"/>
          <w:sz w:val="32"/>
          <w:szCs w:val="32"/>
        </w:rPr>
        <w:t>2019年全年实现</w:t>
      </w:r>
      <w:r w:rsidR="00CB1899">
        <w:rPr>
          <w:rFonts w:ascii="仿宋_GB2312" w:eastAsia="仿宋_GB2312" w:hAnsi="华文中宋" w:hint="eastAsia"/>
          <w:sz w:val="32"/>
          <w:szCs w:val="32"/>
        </w:rPr>
        <w:t>第三产业增加值426.26亿元，同比增长6.1%，全年实现社会消费品零售总额197.8亿元，同比增长3.7%。</w:t>
      </w:r>
    </w:p>
    <w:p w:rsidR="00096D66" w:rsidRPr="00F50157" w:rsidRDefault="00096D66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b/>
          <w:sz w:val="32"/>
          <w:szCs w:val="32"/>
        </w:rPr>
      </w:pPr>
      <w:r w:rsidRPr="00F50157">
        <w:rPr>
          <w:rFonts w:ascii="仿宋_GB2312" w:eastAsia="仿宋_GB2312" w:hAnsi="华文中宋" w:hint="eastAsia"/>
          <w:b/>
          <w:sz w:val="32"/>
          <w:szCs w:val="32"/>
        </w:rPr>
        <w:t>四、</w:t>
      </w:r>
      <w:r w:rsidR="00E237F8" w:rsidRPr="00F50157">
        <w:rPr>
          <w:rFonts w:ascii="仿宋_GB2312" w:eastAsia="仿宋_GB2312" w:hAnsi="华文中宋" w:hint="eastAsia"/>
          <w:b/>
          <w:sz w:val="32"/>
          <w:szCs w:val="32"/>
        </w:rPr>
        <w:t>固定资产投资</w:t>
      </w:r>
    </w:p>
    <w:p w:rsidR="00B60E6C" w:rsidRPr="00B60E6C" w:rsidRDefault="00E237F8" w:rsidP="00B60E6C">
      <w:pPr>
        <w:spacing w:line="580" w:lineRule="exact"/>
        <w:ind w:firstLine="646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全年实现</w:t>
      </w:r>
      <w:r w:rsidR="00C8362E" w:rsidRPr="00533DBD">
        <w:rPr>
          <w:rFonts w:ascii="仿宋_GB2312" w:eastAsia="仿宋_GB2312" w:hAnsi="华文中宋" w:hint="eastAsia"/>
          <w:sz w:val="32"/>
          <w:szCs w:val="32"/>
        </w:rPr>
        <w:t>固定资产投资185.5亿元，</w:t>
      </w:r>
      <w:r w:rsidR="00001D9F">
        <w:rPr>
          <w:rFonts w:ascii="仿宋_GB2312" w:eastAsia="仿宋_GB2312" w:hAnsi="华文中宋" w:hint="eastAsia"/>
          <w:sz w:val="32"/>
          <w:szCs w:val="32"/>
        </w:rPr>
        <w:t>同比</w:t>
      </w:r>
      <w:r w:rsidR="00C8362E" w:rsidRPr="00533DBD">
        <w:rPr>
          <w:rFonts w:ascii="仿宋_GB2312" w:eastAsia="仿宋_GB2312" w:hAnsi="华文中宋" w:hint="eastAsia"/>
          <w:sz w:val="32"/>
          <w:szCs w:val="32"/>
        </w:rPr>
        <w:t>增长19.4%</w:t>
      </w:r>
      <w:r w:rsidR="00BE4A4A">
        <w:rPr>
          <w:rFonts w:ascii="仿宋_GB2312" w:eastAsia="仿宋_GB2312" w:hAnsi="华文中宋" w:hint="eastAsia"/>
          <w:sz w:val="32"/>
          <w:szCs w:val="32"/>
        </w:rPr>
        <w:t>，其中</w:t>
      </w:r>
      <w:r w:rsidR="00B60E6C">
        <w:rPr>
          <w:rFonts w:ascii="仿宋_GB2312" w:eastAsia="仿宋_GB2312" w:hAnsi="华文中宋" w:hint="eastAsia"/>
          <w:sz w:val="32"/>
          <w:szCs w:val="32"/>
        </w:rPr>
        <w:t>商业</w:t>
      </w:r>
      <w:r w:rsidR="007705B9">
        <w:rPr>
          <w:rFonts w:ascii="仿宋_GB2312" w:eastAsia="仿宋_GB2312" w:hAnsi="华文中宋" w:hint="eastAsia"/>
          <w:sz w:val="32"/>
          <w:szCs w:val="32"/>
        </w:rPr>
        <w:t>综合体等现代服务业项目增长迅速</w:t>
      </w:r>
      <w:r w:rsidR="00B60E6C">
        <w:rPr>
          <w:rFonts w:ascii="仿宋_GB2312" w:eastAsia="仿宋_GB2312" w:hAnsi="华文中宋" w:hint="eastAsia"/>
          <w:sz w:val="32"/>
          <w:szCs w:val="32"/>
        </w:rPr>
        <w:t>，全年累计投资</w:t>
      </w:r>
      <w:r w:rsidR="00B60E6C" w:rsidRPr="00B60E6C">
        <w:rPr>
          <w:rFonts w:ascii="仿宋_GB2312" w:eastAsia="仿宋_GB2312" w:hAnsi="华文中宋" w:hint="eastAsia"/>
          <w:sz w:val="32"/>
          <w:szCs w:val="32"/>
        </w:rPr>
        <w:t>47.8亿元，同比增速58%，为</w:t>
      </w:r>
      <w:r w:rsidR="006E7B0B">
        <w:rPr>
          <w:rFonts w:ascii="仿宋_GB2312" w:eastAsia="仿宋_GB2312" w:hAnsi="华文中宋" w:hint="eastAsia"/>
          <w:sz w:val="32"/>
          <w:szCs w:val="32"/>
        </w:rPr>
        <w:t>全</w:t>
      </w:r>
      <w:r w:rsidR="00B60E6C" w:rsidRPr="00B60E6C">
        <w:rPr>
          <w:rFonts w:ascii="仿宋_GB2312" w:eastAsia="仿宋_GB2312" w:hAnsi="华文中宋" w:hint="eastAsia"/>
          <w:sz w:val="32"/>
          <w:szCs w:val="32"/>
        </w:rPr>
        <w:t>区产业结构调整打下坚实基础。</w:t>
      </w:r>
    </w:p>
    <w:p w:rsidR="00F50157" w:rsidRPr="006C5D3A" w:rsidRDefault="00F50157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b/>
          <w:sz w:val="32"/>
          <w:szCs w:val="32"/>
        </w:rPr>
      </w:pPr>
      <w:r w:rsidRPr="006C5D3A">
        <w:rPr>
          <w:rFonts w:ascii="仿宋_GB2312" w:eastAsia="仿宋_GB2312" w:hAnsi="华文中宋" w:hint="eastAsia"/>
          <w:b/>
          <w:sz w:val="32"/>
          <w:szCs w:val="32"/>
        </w:rPr>
        <w:t>五、招商引资和对外开放</w:t>
      </w:r>
    </w:p>
    <w:p w:rsidR="008813A5" w:rsidRDefault="00F50157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2019年实际利用外资8667.8万美元，同比增长23.5%；实际利用内资178.98亿元，同比增长15.8%。全年实现进出口总额253052.14万美元，同比增长10%</w:t>
      </w:r>
      <w:r w:rsidR="00FA11AA">
        <w:rPr>
          <w:rFonts w:ascii="仿宋_GB2312" w:eastAsia="仿宋_GB2312" w:hAnsi="华文中宋" w:hint="eastAsia"/>
          <w:sz w:val="32"/>
          <w:szCs w:val="32"/>
        </w:rPr>
        <w:t>。</w:t>
      </w:r>
      <w:r w:rsidR="00FA11AA" w:rsidRPr="00054333">
        <w:rPr>
          <w:rFonts w:ascii="仿宋_GB2312" w:eastAsia="仿宋_GB2312" w:hAnsi="华文中宋" w:hint="eastAsia"/>
          <w:sz w:val="32"/>
          <w:szCs w:val="32"/>
        </w:rPr>
        <w:t>全年完成签约项目179个，增长38%。其中亿元以上项目20个，包括5</w:t>
      </w:r>
      <w:r w:rsidR="008813A5">
        <w:rPr>
          <w:rFonts w:ascii="仿宋_GB2312" w:eastAsia="仿宋_GB2312" w:hAnsi="华文中宋" w:hint="eastAsia"/>
          <w:sz w:val="32"/>
          <w:szCs w:val="32"/>
        </w:rPr>
        <w:t>至</w:t>
      </w:r>
      <w:r w:rsidR="00FA11AA" w:rsidRPr="00054333">
        <w:rPr>
          <w:rFonts w:ascii="仿宋_GB2312" w:eastAsia="仿宋_GB2312" w:hAnsi="华文中宋" w:hint="eastAsia"/>
          <w:sz w:val="32"/>
          <w:szCs w:val="32"/>
        </w:rPr>
        <w:t>10亿元项目4个，10亿元以上项目4个</w:t>
      </w:r>
      <w:r w:rsidR="00F33F44">
        <w:rPr>
          <w:rFonts w:ascii="仿宋_GB2312" w:eastAsia="仿宋_GB2312" w:hAnsi="华文中宋" w:hint="eastAsia"/>
          <w:sz w:val="32"/>
          <w:szCs w:val="32"/>
        </w:rPr>
        <w:t>。</w:t>
      </w:r>
    </w:p>
    <w:p w:rsidR="00F50157" w:rsidRDefault="008813A5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2019年</w:t>
      </w:r>
      <w:r w:rsidR="00F33F44">
        <w:rPr>
          <w:rFonts w:ascii="仿宋_GB2312" w:eastAsia="仿宋_GB2312" w:hAnsi="华文中宋" w:hint="eastAsia"/>
          <w:sz w:val="32"/>
          <w:szCs w:val="32"/>
        </w:rPr>
        <w:t>长春兴隆</w:t>
      </w:r>
      <w:r w:rsidR="00F33F44" w:rsidRPr="00054333">
        <w:rPr>
          <w:rFonts w:ascii="仿宋_GB2312" w:eastAsia="仿宋_GB2312" w:hAnsi="华文中宋" w:hint="eastAsia"/>
          <w:sz w:val="32"/>
          <w:szCs w:val="32"/>
        </w:rPr>
        <w:t>综保区园区业务额达100亿元，</w:t>
      </w:r>
      <w:r w:rsidR="00F33F44">
        <w:rPr>
          <w:rFonts w:ascii="仿宋_GB2312" w:eastAsia="仿宋_GB2312" w:hAnsi="华文中宋" w:hint="eastAsia"/>
          <w:sz w:val="32"/>
          <w:szCs w:val="32"/>
        </w:rPr>
        <w:t>同比</w:t>
      </w:r>
      <w:r w:rsidR="00F33F44" w:rsidRPr="00054333">
        <w:rPr>
          <w:rFonts w:ascii="仿宋_GB2312" w:eastAsia="仿宋_GB2312" w:hAnsi="华文中宋" w:hint="eastAsia"/>
          <w:sz w:val="32"/>
          <w:szCs w:val="32"/>
        </w:rPr>
        <w:t>增长30%，其中一线进出口额实现50亿元，增长400%，总量和增速在东北综保区中均排名第一。</w:t>
      </w:r>
    </w:p>
    <w:p w:rsidR="009B343E" w:rsidRDefault="009B343E" w:rsidP="00C952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b/>
          <w:sz w:val="32"/>
          <w:szCs w:val="32"/>
        </w:rPr>
      </w:pPr>
      <w:r w:rsidRPr="00111A42">
        <w:rPr>
          <w:rFonts w:ascii="仿宋_GB2312" w:eastAsia="仿宋_GB2312" w:hAnsi="华文中宋" w:hint="eastAsia"/>
          <w:b/>
          <w:sz w:val="32"/>
          <w:szCs w:val="32"/>
        </w:rPr>
        <w:lastRenderedPageBreak/>
        <w:t>六、</w:t>
      </w:r>
      <w:r w:rsidR="00083AA8">
        <w:rPr>
          <w:rFonts w:ascii="仿宋_GB2312" w:eastAsia="仿宋_GB2312" w:hAnsi="华文中宋" w:hint="eastAsia"/>
          <w:b/>
          <w:sz w:val="32"/>
          <w:szCs w:val="32"/>
        </w:rPr>
        <w:t>科技创新</w:t>
      </w:r>
    </w:p>
    <w:p w:rsidR="00C33C87" w:rsidRDefault="00185501" w:rsidP="00C33C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科技创新取得新突破。</w:t>
      </w:r>
      <w:r w:rsidR="00C33C87">
        <w:rPr>
          <w:rFonts w:ascii="仿宋_GB2312" w:eastAsia="仿宋_GB2312" w:hAnsi="仿宋_GB2312" w:cs="仿宋_GB2312" w:hint="eastAsia"/>
          <w:sz w:val="32"/>
          <w:szCs w:val="32"/>
        </w:rPr>
        <w:t>2019年国家高新技术企业新认定62户，同比增长170%，有效期内</w:t>
      </w:r>
      <w:r w:rsidR="00667D69">
        <w:rPr>
          <w:rFonts w:ascii="仿宋_GB2312" w:eastAsia="仿宋_GB2312" w:hAnsi="仿宋_GB2312" w:cs="仿宋_GB2312" w:hint="eastAsia"/>
          <w:sz w:val="32"/>
          <w:szCs w:val="32"/>
        </w:rPr>
        <w:t>高新技术企业</w:t>
      </w:r>
      <w:r w:rsidR="00C33C87">
        <w:rPr>
          <w:rFonts w:ascii="仿宋_GB2312" w:eastAsia="仿宋_GB2312" w:hAnsi="仿宋_GB2312" w:cs="仿宋_GB2312" w:hint="eastAsia"/>
          <w:sz w:val="32"/>
          <w:szCs w:val="32"/>
        </w:rPr>
        <w:t>108户，同比增长108%；吉林省科技“小巨人”企业新认定24户，同比增长300%，截至2019年累计30户，同比增长400%；长春市科技型“小巨人”企业新认定31户，同比增长47.6%，截至2019年累计77户，同比增长63.8%；</w:t>
      </w:r>
      <w:r w:rsidR="00C33C87" w:rsidRPr="00FB5E18">
        <w:rPr>
          <w:rFonts w:ascii="仿宋_GB2312" w:eastAsia="仿宋_GB2312" w:hAnsi="仿宋_GB2312" w:cs="仿宋_GB2312" w:hint="eastAsia"/>
          <w:sz w:val="32"/>
          <w:szCs w:val="32"/>
        </w:rPr>
        <w:t>技术交易合同成交额</w:t>
      </w:r>
      <w:r w:rsidR="00C33C87">
        <w:rPr>
          <w:rFonts w:ascii="仿宋_GB2312" w:eastAsia="仿宋_GB2312" w:hAnsi="仿宋_GB2312" w:cs="仿宋_GB2312" w:hint="eastAsia"/>
          <w:sz w:val="32"/>
          <w:szCs w:val="32"/>
        </w:rPr>
        <w:t>完成50.61亿元，同比增长33%。</w:t>
      </w:r>
    </w:p>
    <w:p w:rsidR="00C9522B" w:rsidRPr="00111A42" w:rsidRDefault="00AE4E53" w:rsidP="00C952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b/>
          <w:sz w:val="32"/>
          <w:szCs w:val="32"/>
        </w:rPr>
      </w:pPr>
      <w:r w:rsidRPr="00C9522B">
        <w:rPr>
          <w:rFonts w:ascii="仿宋_GB2312" w:eastAsia="仿宋_GB2312" w:hAnsi="华文中宋" w:hint="eastAsia"/>
          <w:b/>
          <w:sz w:val="32"/>
          <w:szCs w:val="32"/>
        </w:rPr>
        <w:t>七</w:t>
      </w:r>
      <w:r w:rsidR="00C9522B" w:rsidRPr="00C9522B">
        <w:rPr>
          <w:rFonts w:ascii="仿宋_GB2312" w:eastAsia="仿宋_GB2312" w:hAnsi="华文中宋" w:hint="eastAsia"/>
          <w:b/>
          <w:sz w:val="32"/>
          <w:szCs w:val="32"/>
        </w:rPr>
        <w:t>、社</w:t>
      </w:r>
      <w:r w:rsidR="00C9522B" w:rsidRPr="00111A42">
        <w:rPr>
          <w:rFonts w:ascii="仿宋_GB2312" w:eastAsia="仿宋_GB2312" w:hAnsi="华文中宋" w:hint="eastAsia"/>
          <w:b/>
          <w:sz w:val="32"/>
          <w:szCs w:val="32"/>
        </w:rPr>
        <w:t>会事业</w:t>
      </w:r>
    </w:p>
    <w:p w:rsidR="00C9522B" w:rsidRDefault="00C9522B" w:rsidP="00C952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2019年社会保障持续推进。城镇低保户数887户，1373人，农村低保户数298户，476人。农村新型合作医疗参保人数达24299人，参保率96%。</w:t>
      </w:r>
    </w:p>
    <w:p w:rsidR="00C9522B" w:rsidRDefault="00C9522B" w:rsidP="00C952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全年创造城镇就业岗位7517个；新增城镇就业人数6350人；下岗失业人员再就业人数2445人；“就业困难”人员就业人数515人；创业促就业项目个数631个；转移劳动力就业人次1447次；全年安排失业人员职业技能培训人数308人。</w:t>
      </w:r>
    </w:p>
    <w:p w:rsidR="00C00EFE" w:rsidRPr="00C9522B" w:rsidRDefault="00C9522B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b/>
          <w:sz w:val="32"/>
          <w:szCs w:val="32"/>
        </w:rPr>
      </w:pPr>
      <w:r w:rsidRPr="00C9522B">
        <w:rPr>
          <w:rFonts w:ascii="仿宋_GB2312" w:eastAsia="仿宋_GB2312" w:hAnsi="华文中宋" w:hint="eastAsia"/>
          <w:b/>
          <w:sz w:val="32"/>
          <w:szCs w:val="32"/>
        </w:rPr>
        <w:t>八</w:t>
      </w:r>
      <w:r w:rsidR="00AE4E53" w:rsidRPr="00C9522B">
        <w:rPr>
          <w:rFonts w:ascii="仿宋_GB2312" w:eastAsia="仿宋_GB2312" w:hAnsi="华文中宋" w:hint="eastAsia"/>
          <w:b/>
          <w:sz w:val="32"/>
          <w:szCs w:val="32"/>
        </w:rPr>
        <w:t>、文教卫生</w:t>
      </w:r>
    </w:p>
    <w:p w:rsidR="00AE4E53" w:rsidRDefault="00AE4E53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区内共有中小学19所，在校人数16163人，其中小学12所，中学3所，九年一贯制学校3所，职业学校1所。</w:t>
      </w:r>
    </w:p>
    <w:p w:rsidR="00C00EFE" w:rsidRPr="008C5851" w:rsidRDefault="008C5851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区内共有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各级各类医疗机构284家，其中省属三甲级公立医院1家；市属各级各类医院15家，其中三级民营医院3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家，二级公立医院1所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民营医院8家，一级民营医院2家，血液透析中心1家；区属各类医疗机构268家，其中门诊部</w:t>
      </w:r>
      <w:r>
        <w:rPr>
          <w:rFonts w:ascii="仿宋_GB2312" w:eastAsia="仿宋_GB2312" w:hAnsi="仿宋_GB2312" w:cs="仿宋_GB2312" w:hint="eastAsia"/>
          <w:sz w:val="32"/>
          <w:szCs w:val="32"/>
        </w:rPr>
        <w:t>64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家、诊所</w:t>
      </w:r>
      <w:r>
        <w:rPr>
          <w:rFonts w:ascii="仿宋_GB2312" w:eastAsia="仿宋_GB2312" w:hAnsi="仿宋_GB2312" w:cs="仿宋_GB2312" w:hint="eastAsia"/>
          <w:sz w:val="32"/>
          <w:szCs w:val="32"/>
        </w:rPr>
        <w:t>187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家、区审批医院5家，乡镇卫生院1家、6个社区卫生服务中心、5个社区卫生服务站。</w:t>
      </w:r>
    </w:p>
    <w:p w:rsidR="00C00EFE" w:rsidRDefault="00C00EFE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p w:rsidR="00C00EFE" w:rsidRPr="00C00EFE" w:rsidRDefault="00C00EFE" w:rsidP="008B042B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/>
          <w:color w:val="000000"/>
          <w:sz w:val="32"/>
        </w:rPr>
      </w:pPr>
    </w:p>
    <w:p w:rsidR="008B042B" w:rsidRPr="008B042B" w:rsidRDefault="008B042B" w:rsidP="008B042B">
      <w:pPr>
        <w:ind w:firstLine="645"/>
      </w:pPr>
    </w:p>
    <w:p w:rsidR="008B6901" w:rsidRPr="00995E5A" w:rsidRDefault="008B6901"/>
    <w:sectPr w:rsidR="008B6901" w:rsidRPr="00995E5A" w:rsidSect="0099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55" w:rsidRDefault="00C51E55" w:rsidP="00995E5A">
      <w:r>
        <w:separator/>
      </w:r>
    </w:p>
  </w:endnote>
  <w:endnote w:type="continuationSeparator" w:id="1">
    <w:p w:rsidR="00C51E55" w:rsidRDefault="00C51E55" w:rsidP="0099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55" w:rsidRDefault="00C51E55" w:rsidP="00995E5A">
      <w:r>
        <w:separator/>
      </w:r>
    </w:p>
  </w:footnote>
  <w:footnote w:type="continuationSeparator" w:id="1">
    <w:p w:rsidR="00C51E55" w:rsidRDefault="00C51E55" w:rsidP="00995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A2D"/>
    <w:multiLevelType w:val="hybridMultilevel"/>
    <w:tmpl w:val="6988080A"/>
    <w:lvl w:ilvl="0" w:tplc="7AE8763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E5A"/>
    <w:rsid w:val="00001D9F"/>
    <w:rsid w:val="00083794"/>
    <w:rsid w:val="00083AA8"/>
    <w:rsid w:val="00096D66"/>
    <w:rsid w:val="000C2572"/>
    <w:rsid w:val="000C7F76"/>
    <w:rsid w:val="000F796C"/>
    <w:rsid w:val="00101FB6"/>
    <w:rsid w:val="00111A42"/>
    <w:rsid w:val="00111D05"/>
    <w:rsid w:val="001405A6"/>
    <w:rsid w:val="001755E4"/>
    <w:rsid w:val="00185501"/>
    <w:rsid w:val="001B1C9F"/>
    <w:rsid w:val="001E3196"/>
    <w:rsid w:val="001E45D2"/>
    <w:rsid w:val="00247493"/>
    <w:rsid w:val="00266FAA"/>
    <w:rsid w:val="00277CB5"/>
    <w:rsid w:val="002E2380"/>
    <w:rsid w:val="00341796"/>
    <w:rsid w:val="00381779"/>
    <w:rsid w:val="00386D35"/>
    <w:rsid w:val="00490A37"/>
    <w:rsid w:val="004B30DD"/>
    <w:rsid w:val="00527807"/>
    <w:rsid w:val="00543F43"/>
    <w:rsid w:val="00562C09"/>
    <w:rsid w:val="00577E16"/>
    <w:rsid w:val="005B37B4"/>
    <w:rsid w:val="005B6EBE"/>
    <w:rsid w:val="005D3D08"/>
    <w:rsid w:val="005F6559"/>
    <w:rsid w:val="006212D8"/>
    <w:rsid w:val="0065337D"/>
    <w:rsid w:val="00667D69"/>
    <w:rsid w:val="006C5D3A"/>
    <w:rsid w:val="006E0E76"/>
    <w:rsid w:val="006E7B0B"/>
    <w:rsid w:val="00707634"/>
    <w:rsid w:val="007402DA"/>
    <w:rsid w:val="00767AC8"/>
    <w:rsid w:val="007705B9"/>
    <w:rsid w:val="007A2F67"/>
    <w:rsid w:val="007A7CAA"/>
    <w:rsid w:val="007D40ED"/>
    <w:rsid w:val="007E1925"/>
    <w:rsid w:val="00810B31"/>
    <w:rsid w:val="00833ACD"/>
    <w:rsid w:val="008813A5"/>
    <w:rsid w:val="0088227A"/>
    <w:rsid w:val="008B042B"/>
    <w:rsid w:val="008B6901"/>
    <w:rsid w:val="008C5851"/>
    <w:rsid w:val="0098045A"/>
    <w:rsid w:val="009902D2"/>
    <w:rsid w:val="00995E5A"/>
    <w:rsid w:val="009B343E"/>
    <w:rsid w:val="009D3194"/>
    <w:rsid w:val="009D78BB"/>
    <w:rsid w:val="00A04DA5"/>
    <w:rsid w:val="00A20E7E"/>
    <w:rsid w:val="00AA3B62"/>
    <w:rsid w:val="00AD2E27"/>
    <w:rsid w:val="00AD7696"/>
    <w:rsid w:val="00AE4E53"/>
    <w:rsid w:val="00AF2C4F"/>
    <w:rsid w:val="00B03D5C"/>
    <w:rsid w:val="00B60E6C"/>
    <w:rsid w:val="00B80D53"/>
    <w:rsid w:val="00BA29EC"/>
    <w:rsid w:val="00BD5B83"/>
    <w:rsid w:val="00BE4A4A"/>
    <w:rsid w:val="00C00EFE"/>
    <w:rsid w:val="00C068F9"/>
    <w:rsid w:val="00C33C87"/>
    <w:rsid w:val="00C3639A"/>
    <w:rsid w:val="00C51E55"/>
    <w:rsid w:val="00C63C65"/>
    <w:rsid w:val="00C8362E"/>
    <w:rsid w:val="00C901AE"/>
    <w:rsid w:val="00C9050F"/>
    <w:rsid w:val="00C9522B"/>
    <w:rsid w:val="00CA6073"/>
    <w:rsid w:val="00CB1899"/>
    <w:rsid w:val="00D22234"/>
    <w:rsid w:val="00D4798C"/>
    <w:rsid w:val="00D47E09"/>
    <w:rsid w:val="00D76DA6"/>
    <w:rsid w:val="00DB02B7"/>
    <w:rsid w:val="00DB3FED"/>
    <w:rsid w:val="00DB5DA2"/>
    <w:rsid w:val="00E20A37"/>
    <w:rsid w:val="00E237F8"/>
    <w:rsid w:val="00E46A4F"/>
    <w:rsid w:val="00E575C9"/>
    <w:rsid w:val="00E83ED5"/>
    <w:rsid w:val="00EA6677"/>
    <w:rsid w:val="00EF3B78"/>
    <w:rsid w:val="00F231B8"/>
    <w:rsid w:val="00F33F44"/>
    <w:rsid w:val="00F50157"/>
    <w:rsid w:val="00F7473B"/>
    <w:rsid w:val="00FA11AA"/>
    <w:rsid w:val="00FB482E"/>
    <w:rsid w:val="00FE0F4E"/>
    <w:rsid w:val="00F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5A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E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E5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E5A"/>
    <w:rPr>
      <w:sz w:val="18"/>
      <w:szCs w:val="18"/>
    </w:rPr>
  </w:style>
  <w:style w:type="paragraph" w:styleId="a5">
    <w:name w:val="List Paragraph"/>
    <w:basedOn w:val="a"/>
    <w:uiPriority w:val="34"/>
    <w:qFormat/>
    <w:rsid w:val="008B042B"/>
    <w:pPr>
      <w:ind w:firstLineChars="200" w:firstLine="420"/>
    </w:pPr>
  </w:style>
  <w:style w:type="table" w:styleId="a6">
    <w:name w:val="Table Grid"/>
    <w:basedOn w:val="a1"/>
    <w:uiPriority w:val="59"/>
    <w:rsid w:val="007D4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7D40E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562C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C0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152</cp:revision>
  <dcterms:created xsi:type="dcterms:W3CDTF">2020-04-21T02:00:00Z</dcterms:created>
  <dcterms:modified xsi:type="dcterms:W3CDTF">2020-11-12T05:25:00Z</dcterms:modified>
</cp:coreProperties>
</file>